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6018" w14:textId="3A902F09" w:rsidR="00054C71" w:rsidRDefault="00660D4D">
      <w:pPr>
        <w:pStyle w:val="Standard"/>
        <w:spacing w:line="360" w:lineRule="auto"/>
        <w:jc w:val="both"/>
      </w:pPr>
      <w:r>
        <w:t xml:space="preserve"> </w:t>
      </w:r>
    </w:p>
    <w:p w14:paraId="5B2F6E21" w14:textId="3A303B86" w:rsidR="00054C71" w:rsidRDefault="00660D4D">
      <w:pPr>
        <w:pStyle w:val="Standard"/>
        <w:spacing w:line="360" w:lineRule="auto"/>
        <w:jc w:val="right"/>
      </w:pPr>
      <w:r>
        <w:t xml:space="preserve">Katowice, </w:t>
      </w:r>
      <w:r w:rsidR="00FC6E9B">
        <w:t>13</w:t>
      </w:r>
      <w:r>
        <w:t xml:space="preserve"> </w:t>
      </w:r>
      <w:r w:rsidR="008D6F56">
        <w:t>października</w:t>
      </w:r>
      <w:r>
        <w:t xml:space="preserve"> 2021</w:t>
      </w:r>
    </w:p>
    <w:p w14:paraId="45A0DA07" w14:textId="77777777" w:rsidR="00054C71" w:rsidRDefault="00660D4D">
      <w:pPr>
        <w:pStyle w:val="Standard"/>
        <w:spacing w:line="360" w:lineRule="auto"/>
        <w:jc w:val="both"/>
      </w:pPr>
      <w:r>
        <w:t>Informacja prasowa</w:t>
      </w:r>
    </w:p>
    <w:p w14:paraId="1429DB04" w14:textId="0C0793F7" w:rsidR="00054C71" w:rsidRDefault="005861CF" w:rsidP="002B57DF">
      <w:pPr>
        <w:pStyle w:val="Standard"/>
        <w:spacing w:line="360" w:lineRule="auto"/>
        <w:jc w:val="center"/>
        <w:rPr>
          <w:b/>
          <w:bCs/>
        </w:rPr>
      </w:pPr>
      <w:r>
        <w:rPr>
          <w:b/>
          <w:bCs/>
        </w:rPr>
        <w:t xml:space="preserve">Górnośląsko – Zagłębiowska Metropolia o potrzebach współczesnych studentów </w:t>
      </w:r>
    </w:p>
    <w:p w14:paraId="056C6EDC" w14:textId="72594BB3" w:rsidR="002C7643" w:rsidRDefault="006501BC" w:rsidP="0089265A">
      <w:pPr>
        <w:pStyle w:val="Standard"/>
        <w:spacing w:line="360" w:lineRule="auto"/>
        <w:jc w:val="both"/>
        <w:rPr>
          <w:b/>
          <w:bCs/>
        </w:rPr>
      </w:pPr>
      <w:r>
        <w:rPr>
          <w:b/>
          <w:bCs/>
        </w:rPr>
        <w:t xml:space="preserve">Szkolnictwo wyższe to jeden z istotniejszych czynników metropolitalności i rozwoju regionu. </w:t>
      </w:r>
      <w:r w:rsidR="0089265A">
        <w:rPr>
          <w:b/>
          <w:bCs/>
        </w:rPr>
        <w:t xml:space="preserve">W Górnośląsko – Zagłębiowskiej Metropolii studiuje prawie 89 tys. </w:t>
      </w:r>
      <w:r>
        <w:rPr>
          <w:b/>
          <w:bCs/>
        </w:rPr>
        <w:t>S</w:t>
      </w:r>
      <w:r w:rsidR="0089265A">
        <w:rPr>
          <w:b/>
          <w:bCs/>
        </w:rPr>
        <w:t>tudentów</w:t>
      </w:r>
      <w:r>
        <w:rPr>
          <w:b/>
          <w:bCs/>
        </w:rPr>
        <w:t xml:space="preserve">. </w:t>
      </w:r>
      <w:r w:rsidR="002C7643">
        <w:rPr>
          <w:b/>
          <w:bCs/>
        </w:rPr>
        <w:t>Wybór uczelni, których siedziby mieszczą się na terenie Górnośląsko – Zagłębiowskiej</w:t>
      </w:r>
      <w:r w:rsidR="00746DA8">
        <w:rPr>
          <w:b/>
          <w:bCs/>
        </w:rPr>
        <w:t xml:space="preserve"> Metropolii,</w:t>
      </w:r>
      <w:r w:rsidR="002C7643">
        <w:rPr>
          <w:b/>
          <w:bCs/>
        </w:rPr>
        <w:t xml:space="preserve"> to wysoki poziom kształcenia, </w:t>
      </w:r>
      <w:r>
        <w:rPr>
          <w:b/>
          <w:bCs/>
        </w:rPr>
        <w:t xml:space="preserve">nowe, unikalne </w:t>
      </w:r>
      <w:r w:rsidR="002C7643">
        <w:rPr>
          <w:b/>
          <w:bCs/>
        </w:rPr>
        <w:t>specjalistyczne kierunki studiów</w:t>
      </w:r>
      <w:r>
        <w:rPr>
          <w:b/>
          <w:bCs/>
        </w:rPr>
        <w:t xml:space="preserve"> oraz</w:t>
      </w:r>
      <w:r w:rsidR="002C7643">
        <w:rPr>
          <w:b/>
          <w:bCs/>
        </w:rPr>
        <w:t xml:space="preserve"> perspektywy zawodowe dla blisko 90 tys. studentów, wybierających </w:t>
      </w:r>
      <w:r w:rsidR="00746DA8">
        <w:rPr>
          <w:b/>
          <w:bCs/>
        </w:rPr>
        <w:t xml:space="preserve">właśnie </w:t>
      </w:r>
      <w:r w:rsidR="002C7643">
        <w:rPr>
          <w:b/>
          <w:bCs/>
        </w:rPr>
        <w:t xml:space="preserve">te uczelnie. </w:t>
      </w:r>
    </w:p>
    <w:p w14:paraId="6022FF31" w14:textId="77777777" w:rsidR="00EC7282" w:rsidRDefault="00EC7282" w:rsidP="0089265A">
      <w:pPr>
        <w:pStyle w:val="Standard"/>
        <w:spacing w:line="360" w:lineRule="auto"/>
        <w:jc w:val="both"/>
        <w:rPr>
          <w:b/>
          <w:bCs/>
        </w:rPr>
      </w:pPr>
    </w:p>
    <w:p w14:paraId="249CB30C" w14:textId="07C39260" w:rsidR="00253BDF" w:rsidRPr="00253BDF" w:rsidRDefault="00253BDF" w:rsidP="0089265A">
      <w:pPr>
        <w:pStyle w:val="Standard"/>
        <w:spacing w:line="360" w:lineRule="auto"/>
        <w:jc w:val="both"/>
        <w:rPr>
          <w:b/>
          <w:bCs/>
        </w:rPr>
      </w:pPr>
      <w:r w:rsidRPr="00253BDF">
        <w:rPr>
          <w:b/>
          <w:bCs/>
        </w:rPr>
        <w:t xml:space="preserve">Potencjał edukacyjny Górnośląsko – Zagłębiowskiej Metropolii </w:t>
      </w:r>
    </w:p>
    <w:p w14:paraId="74038EC2" w14:textId="5B9086E6" w:rsidR="006501BC" w:rsidRDefault="006501BC" w:rsidP="009B0DB3">
      <w:pPr>
        <w:pStyle w:val="Standard"/>
        <w:spacing w:line="360" w:lineRule="auto"/>
        <w:jc w:val="both"/>
      </w:pPr>
      <w:r>
        <w:t>P</w:t>
      </w:r>
      <w:r w:rsidR="00CE2FD5">
        <w:t xml:space="preserve">romocja potencjału naukowego i edukacyjnego to jedno z zadań Górnośląsko – Zagłębiowskiej Metropolii, ujęte w Programie Działań Strategicznych do 2022 roku. </w:t>
      </w:r>
      <w:r w:rsidR="00CE2FD5" w:rsidRPr="00CE2FD5">
        <w:t xml:space="preserve">Różnorodność oferty edukacyjnej, jakość kadr i kształcenia czy rozpoznawalność uczelni w kraju i </w:t>
      </w:r>
      <w:r w:rsidR="006230A1">
        <w:t xml:space="preserve">poza nim </w:t>
      </w:r>
      <w:r w:rsidR="00CE2FD5" w:rsidRPr="00CE2FD5">
        <w:t xml:space="preserve">to współcześnie ważne determinanty rozwoju i budowania konkurencyjności miast i metropolii, w tym przyciągania inwestorów i nowych mieszkańców. </w:t>
      </w:r>
    </w:p>
    <w:p w14:paraId="13D06AD2" w14:textId="66B9FB73" w:rsidR="006501BC" w:rsidRDefault="006501BC" w:rsidP="006501BC">
      <w:pPr>
        <w:spacing w:line="360" w:lineRule="auto"/>
        <w:jc w:val="both"/>
      </w:pPr>
      <w:r>
        <w:rPr>
          <w:i/>
          <w:iCs/>
        </w:rPr>
        <w:t>„</w:t>
      </w:r>
      <w:r w:rsidRPr="008E4A19">
        <w:rPr>
          <w:i/>
          <w:iCs/>
        </w:rPr>
        <w:t>Bardzo ważne jest to</w:t>
      </w:r>
      <w:r w:rsidR="00FC6E9B">
        <w:rPr>
          <w:i/>
          <w:iCs/>
        </w:rPr>
        <w:t>,</w:t>
      </w:r>
      <w:r>
        <w:rPr>
          <w:i/>
          <w:iCs/>
        </w:rPr>
        <w:t xml:space="preserve"> abyśmy tak dostosowywali swoją ofertę dydaktyczną uczelni i sposób jej funkcjonowania wraz we współpracy z innymi uczelniami, aby pokazać jak bardzo region Metropolii różni się od innych. Jesteśmy atrakcyjnym ośrodkiem akademickim, miejscem w którym łatwo znaleźć pracę będąc już studentem i jednocześnie móc ją ze studiami łączyć. Staramy się upatrywać partnerów wśród uczelni, które funkcjonują na terenie Górnośląsko-Zagłębiowskiej Metropolii i z jednej strony uatrakcyjniać naszą ofertę edukacyjną, ale również uzupełniać ją i wzbogacać także w stosunku do naszych partnerów. Politechnika oferuje szereg kierunków związanych z sektorem IT, ale wraz z naszymi </w:t>
      </w:r>
      <w:r>
        <w:rPr>
          <w:i/>
          <w:iCs/>
        </w:rPr>
        <w:lastRenderedPageBreak/>
        <w:t xml:space="preserve">partnerskimi uczelniami na śląsku jesteśmy w stanie budować olbrzymi potencjał, dlatego korzystamy z wzajemnego wsparcia. Metropolia ulega przeobrażeniom, z regionu silnie uprzemysłowionego w zakresie technologii ciężkich na region nowoczesnych technologii i energetyki. Tego rodzaju kierunki związane z transformacją energetyczną oferuje właśnie Politechnika Śląska.” </w:t>
      </w:r>
      <w:r>
        <w:t xml:space="preserve"> - przekonuje </w:t>
      </w:r>
      <w:r w:rsidRPr="00D141E4">
        <w:t>Prorektor ds. Nauki i Rozwoju, prof. dr hab. inż. Marek Pawełczyk</w:t>
      </w:r>
      <w:r>
        <w:t xml:space="preserve"> z </w:t>
      </w:r>
      <w:r w:rsidRPr="00D141E4">
        <w:t>Politechnik</w:t>
      </w:r>
      <w:r>
        <w:t>i</w:t>
      </w:r>
      <w:r w:rsidRPr="00D141E4">
        <w:t xml:space="preserve"> Śląsk</w:t>
      </w:r>
      <w:r>
        <w:t>iej w</w:t>
      </w:r>
      <w:r w:rsidRPr="00D141E4">
        <w:t xml:space="preserve"> Gliwic</w:t>
      </w:r>
      <w:r>
        <w:t>ach.</w:t>
      </w:r>
    </w:p>
    <w:p w14:paraId="1AC054D8" w14:textId="664957C7" w:rsidR="00A3131F" w:rsidRDefault="00CE2FD5" w:rsidP="006501BC">
      <w:pPr>
        <w:pStyle w:val="Standard"/>
        <w:spacing w:line="360" w:lineRule="auto"/>
        <w:jc w:val="both"/>
      </w:pPr>
      <w:r w:rsidRPr="00CE2FD5">
        <w:t>Uczelnie wyższe wpływają na rozwój innowacji, wiedzy i postępu, a także są głównymi kreatorami kapitału ludzkiego i społecznego.</w:t>
      </w:r>
      <w:r>
        <w:t xml:space="preserve"> </w:t>
      </w:r>
      <w:r w:rsidR="00253BDF" w:rsidRPr="006501BC">
        <w:t>Na terenie Metropolii funkcjonują 24 uczelnie wyższe, 8 publicznych oraz 16 niepublicznych.</w:t>
      </w:r>
      <w:r w:rsidR="00253BDF">
        <w:t xml:space="preserve"> </w:t>
      </w:r>
      <w:r w:rsidR="008034AD">
        <w:t>Górnośląsko – Zagłębiowska Metropolia</w:t>
      </w:r>
      <w:r w:rsidR="009B0DB3">
        <w:t xml:space="preserve"> w ramach swojej strategii uruchomiła Fundusz Wspierania Nauki, z którego wszystkie uczelnie działające na </w:t>
      </w:r>
      <w:r w:rsidR="008034AD">
        <w:t xml:space="preserve">jej </w:t>
      </w:r>
      <w:r w:rsidR="009B0DB3">
        <w:t xml:space="preserve">terenie mogą do 2022 roku mogą otrzymać </w:t>
      </w:r>
      <w:r w:rsidR="009B0DB3" w:rsidRPr="006501BC">
        <w:rPr>
          <w:b/>
          <w:bCs/>
        </w:rPr>
        <w:t>łącznie 8 milionów złotych dotacji</w:t>
      </w:r>
      <w:r w:rsidR="009B0DB3">
        <w:t xml:space="preserve"> </w:t>
      </w:r>
      <w:r w:rsidR="009B0DB3" w:rsidRPr="00FE6631">
        <w:t xml:space="preserve">na pokrycie kosztów związanych z </w:t>
      </w:r>
      <w:r w:rsidR="002529CE">
        <w:t>zaproszeniem</w:t>
      </w:r>
      <w:r w:rsidR="009B0DB3" w:rsidRPr="00FE6631">
        <w:t xml:space="preserve"> wybitnej klasy naukowców, którzy poprowadzą dla naszych studentów wykłady, seminaria, laboratoria albo konsultacje. Wysokość dotacji to nawet 99 procent.</w:t>
      </w:r>
    </w:p>
    <w:p w14:paraId="2A52EB6F" w14:textId="67E1EA6A" w:rsidR="006501BC" w:rsidRDefault="006501BC" w:rsidP="00BF0714">
      <w:pPr>
        <w:pStyle w:val="Standard"/>
        <w:spacing w:line="360" w:lineRule="auto"/>
        <w:ind w:left="708"/>
        <w:jc w:val="both"/>
      </w:pPr>
      <w:r>
        <w:rPr>
          <w:i/>
          <w:iCs/>
        </w:rPr>
        <w:t>„</w:t>
      </w:r>
      <w:r w:rsidRPr="00D141E4">
        <w:rPr>
          <w:i/>
          <w:iCs/>
        </w:rPr>
        <w:t xml:space="preserve">Metropolia od samego początku </w:t>
      </w:r>
      <w:r>
        <w:rPr>
          <w:i/>
          <w:iCs/>
        </w:rPr>
        <w:t>postrzegała</w:t>
      </w:r>
      <w:r w:rsidRPr="00D141E4">
        <w:rPr>
          <w:i/>
          <w:iCs/>
        </w:rPr>
        <w:t xml:space="preserve"> naukę jako</w:t>
      </w:r>
      <w:r>
        <w:rPr>
          <w:i/>
          <w:iCs/>
        </w:rPr>
        <w:t xml:space="preserve"> jeden z ważniejszych </w:t>
      </w:r>
      <w:r w:rsidRPr="00D141E4">
        <w:rPr>
          <w:i/>
          <w:iCs/>
        </w:rPr>
        <w:t>element</w:t>
      </w:r>
      <w:r>
        <w:rPr>
          <w:i/>
          <w:iCs/>
        </w:rPr>
        <w:t>ów</w:t>
      </w:r>
      <w:r w:rsidRPr="00D141E4">
        <w:rPr>
          <w:i/>
          <w:iCs/>
        </w:rPr>
        <w:t xml:space="preserve"> napędowy</w:t>
      </w:r>
      <w:r>
        <w:rPr>
          <w:i/>
          <w:iCs/>
        </w:rPr>
        <w:t>ch</w:t>
      </w:r>
      <w:r w:rsidRPr="00D141E4">
        <w:rPr>
          <w:i/>
          <w:iCs/>
        </w:rPr>
        <w:t xml:space="preserve"> całej gospodarki</w:t>
      </w:r>
      <w:r>
        <w:rPr>
          <w:i/>
          <w:iCs/>
        </w:rPr>
        <w:t>, ale również jako magnes mający przyciągnąć młodych ludzi i zachęcić do zamieszkania w naszych miastach. Jako Metropolia mamy ku temu wszelkie atuty: posiadamy szeroki wachlarz uczelni, medycznych, artystycznych, technicznych czy humanistycznych</w:t>
      </w:r>
      <w:r w:rsidR="008034AD">
        <w:rPr>
          <w:i/>
          <w:iCs/>
        </w:rPr>
        <w:t>,</w:t>
      </w:r>
      <w:r>
        <w:rPr>
          <w:i/>
          <w:iCs/>
        </w:rPr>
        <w:t xml:space="preserve"> które oferują bardzo dobre kierunki. Chcemy wspierać naukę, dzięki takiemu narzędziu jak Metropolitalny Fundusz Wspierania Nauki jesteśmy w stanie uatrakcyjnić wykłady na naszych uczelniach poprzez zaproszenie do ich poprowadzenia topowych ekspertów, których ściągamy z takich uczelni jak Oxford czy Harvard. Za chwilę startują również konkursy na najlepsze prace licencjackie, inżynierskie i magisterskie. Działa u nas doskonale rozwinięty i zorganizowany przemysł, animowany przez Katowicką Strefę Ekonomiczną. To zaś sprawia, że po studiach można tu znaleźć dobrze płatną pracę</w:t>
      </w:r>
      <w:r w:rsidR="008034AD">
        <w:rPr>
          <w:i/>
          <w:iCs/>
        </w:rPr>
        <w:t>,</w:t>
      </w:r>
      <w:r>
        <w:rPr>
          <w:i/>
          <w:iCs/>
        </w:rPr>
        <w:t xml:space="preserve"> tak w przemyśle jak i usługach biznesowych czy informatycznych. Chcemy również zachęcać młodych ludzi do tworzenia małych biznesów kreatywnych, startupów poprzez tworzenie nowych narzędzi wspierających. Jako Metropolia </w:t>
      </w:r>
      <w:r>
        <w:rPr>
          <w:i/>
          <w:iCs/>
        </w:rPr>
        <w:lastRenderedPageBreak/>
        <w:t xml:space="preserve">mamy młodym ludziom wiele do zaoferowania”. – </w:t>
      </w:r>
      <w:r w:rsidRPr="00E524E4">
        <w:t xml:space="preserve">podsumowuje </w:t>
      </w:r>
      <w:r>
        <w:t xml:space="preserve">Jacek </w:t>
      </w:r>
      <w:proofErr w:type="spellStart"/>
      <w:r>
        <w:t>Woźnikowski</w:t>
      </w:r>
      <w:proofErr w:type="spellEnd"/>
      <w:r>
        <w:t xml:space="preserve">, dyrektor Departamentu Rozwoju Społeczno-Gospodarczego i Współpracy Metropolii GZM. </w:t>
      </w:r>
    </w:p>
    <w:p w14:paraId="30FB0DF3" w14:textId="77777777" w:rsidR="006501BC" w:rsidRDefault="006501BC" w:rsidP="006501BC">
      <w:pPr>
        <w:pStyle w:val="Standard"/>
        <w:spacing w:line="360" w:lineRule="auto"/>
        <w:jc w:val="both"/>
      </w:pPr>
    </w:p>
    <w:p w14:paraId="3236E7DF" w14:textId="61FB61B5" w:rsidR="00DC72F8" w:rsidRDefault="005861CF">
      <w:pPr>
        <w:pStyle w:val="Standard"/>
        <w:spacing w:line="360" w:lineRule="auto"/>
        <w:jc w:val="both"/>
        <w:rPr>
          <w:b/>
          <w:bCs/>
        </w:rPr>
      </w:pPr>
      <w:r>
        <w:rPr>
          <w:b/>
          <w:bCs/>
        </w:rPr>
        <w:t>Kierunki przyszłości: u</w:t>
      </w:r>
      <w:r w:rsidR="00FE6631">
        <w:rPr>
          <w:b/>
          <w:bCs/>
        </w:rPr>
        <w:t xml:space="preserve">czelnie odpowiadają na współczesne potrzeby </w:t>
      </w:r>
    </w:p>
    <w:p w14:paraId="0454A7D8" w14:textId="6087561D" w:rsidR="00054C71" w:rsidRDefault="005861CF">
      <w:pPr>
        <w:pStyle w:val="Standard"/>
        <w:spacing w:line="360" w:lineRule="auto"/>
        <w:jc w:val="both"/>
      </w:pPr>
      <w:r w:rsidRPr="00A5698E">
        <w:t>Opowiadając na obecne potrzeby zarówno studentów jak i zmieniającego się zapotrzebowania pracodawców na wyspecjalizowanych pracowników, uczelnie działające na terenie GZM wprowadziły w nowym roku akademickim nowe kierunki</w:t>
      </w:r>
      <w:r w:rsidR="00A5698E">
        <w:t xml:space="preserve"> studiów, a także już od lat kształcą na kierunkach niszowych. </w:t>
      </w:r>
      <w:r w:rsidRPr="00A5698E">
        <w:t>Uniwersytet Ekonomiczny</w:t>
      </w:r>
      <w:r w:rsidR="00A5698E" w:rsidRPr="00A5698E">
        <w:t xml:space="preserve"> </w:t>
      </w:r>
      <w:r w:rsidR="00A5698E">
        <w:t xml:space="preserve"> prowadzi zajęcia na </w:t>
      </w:r>
      <w:r w:rsidRPr="00A5698E">
        <w:t>gospodar</w:t>
      </w:r>
      <w:r w:rsidR="00A5698E">
        <w:t>ce</w:t>
      </w:r>
      <w:r w:rsidRPr="00A5698E">
        <w:t xml:space="preserve"> cyfrow</w:t>
      </w:r>
      <w:r w:rsidR="00A5698E">
        <w:t>ej</w:t>
      </w:r>
      <w:r w:rsidRPr="00A5698E">
        <w:t>, jedyny</w:t>
      </w:r>
      <w:r w:rsidR="00A5698E">
        <w:t>m</w:t>
      </w:r>
      <w:r w:rsidRPr="00A5698E">
        <w:t xml:space="preserve"> taki</w:t>
      </w:r>
      <w:r w:rsidR="00A5698E">
        <w:t>m</w:t>
      </w:r>
      <w:r w:rsidRPr="00A5698E">
        <w:t xml:space="preserve"> </w:t>
      </w:r>
      <w:r w:rsidR="00A5698E" w:rsidRPr="00A5698E">
        <w:t>kierunku</w:t>
      </w:r>
      <w:r w:rsidRPr="00A5698E">
        <w:t xml:space="preserve"> w Polsce</w:t>
      </w:r>
      <w:r w:rsidR="00A5698E">
        <w:t>.</w:t>
      </w:r>
      <w:r w:rsidRPr="00A5698E">
        <w:t xml:space="preserve"> </w:t>
      </w:r>
      <w:r w:rsidR="00A5698E">
        <w:t>N</w:t>
      </w:r>
      <w:r w:rsidR="00A5698E" w:rsidRPr="00A5698E">
        <w:t xml:space="preserve">atomiast </w:t>
      </w:r>
      <w:r w:rsidRPr="00A5698E">
        <w:t>Politechnika Śląska</w:t>
      </w:r>
      <w:r w:rsidR="00A5698E" w:rsidRPr="00A5698E">
        <w:t>, kształci na kierunku</w:t>
      </w:r>
      <w:r w:rsidRPr="00A5698E">
        <w:t xml:space="preserve"> Inżynieria Ogólna, </w:t>
      </w:r>
      <w:r w:rsidR="00A5698E" w:rsidRPr="00A5698E">
        <w:t xml:space="preserve">który jest </w:t>
      </w:r>
      <w:r w:rsidRPr="00A5698E">
        <w:t>unikatow</w:t>
      </w:r>
      <w:r w:rsidR="00A5698E" w:rsidRPr="00A5698E">
        <w:t>y</w:t>
      </w:r>
      <w:r w:rsidRPr="00A5698E">
        <w:t xml:space="preserve"> w skali kraju</w:t>
      </w:r>
      <w:r w:rsidR="00A5698E" w:rsidRPr="00A5698E">
        <w:t xml:space="preserve"> czy</w:t>
      </w:r>
      <w:r w:rsidRPr="00A5698E">
        <w:t xml:space="preserve"> Inżynieri</w:t>
      </w:r>
      <w:r w:rsidR="00A5698E" w:rsidRPr="00A5698E">
        <w:t>i</w:t>
      </w:r>
      <w:r w:rsidRPr="00A5698E">
        <w:t xml:space="preserve"> Lotnicz</w:t>
      </w:r>
      <w:r w:rsidR="00A5698E" w:rsidRPr="00A5698E">
        <w:t>ej</w:t>
      </w:r>
      <w:r w:rsidRPr="00A5698E">
        <w:t xml:space="preserve"> i Kosmiczn</w:t>
      </w:r>
      <w:r w:rsidR="00A5698E" w:rsidRPr="00A5698E">
        <w:t>ej</w:t>
      </w:r>
      <w:r w:rsidRPr="00A5698E">
        <w:t xml:space="preserve">, </w:t>
      </w:r>
      <w:r w:rsidR="00A5698E" w:rsidRPr="00A5698E">
        <w:t xml:space="preserve">a także na </w:t>
      </w:r>
      <w:r w:rsidRPr="00A5698E">
        <w:t>stworzony</w:t>
      </w:r>
      <w:r w:rsidR="00A5698E" w:rsidRPr="00A5698E">
        <w:t>m</w:t>
      </w:r>
      <w:r w:rsidRPr="00A5698E">
        <w:t xml:space="preserve"> wspólnie z Uniwersytetem Lizbońskim (Superior </w:t>
      </w:r>
      <w:proofErr w:type="spellStart"/>
      <w:r w:rsidRPr="00A5698E">
        <w:t>Técnico</w:t>
      </w:r>
      <w:proofErr w:type="spellEnd"/>
      <w:r w:rsidRPr="00A5698E">
        <w:t>) nowy</w:t>
      </w:r>
      <w:r w:rsidR="00A5698E" w:rsidRPr="00A5698E">
        <w:t>m</w:t>
      </w:r>
      <w:r w:rsidRPr="00A5698E">
        <w:t xml:space="preserve"> </w:t>
      </w:r>
      <w:r w:rsidR="00A5698E" w:rsidRPr="00A5698E">
        <w:t>kieru</w:t>
      </w:r>
      <w:r w:rsidR="00A5698E">
        <w:t>nku</w:t>
      </w:r>
      <w:r w:rsidRPr="00A5698E">
        <w:t xml:space="preserve"> studiów magisterskich z obszaru transformacji energetycznej. </w:t>
      </w:r>
      <w:r w:rsidR="00F4292E" w:rsidRPr="00A5698E">
        <w:t>Branż</w:t>
      </w:r>
      <w:r w:rsidR="00F4292E">
        <w:t>ę</w:t>
      </w:r>
      <w:r w:rsidR="00F4292E" w:rsidRPr="00A5698E">
        <w:t xml:space="preserve"> </w:t>
      </w:r>
      <w:proofErr w:type="spellStart"/>
      <w:r w:rsidRPr="00A5698E">
        <w:t>gamingo</w:t>
      </w:r>
      <w:r w:rsidR="00A5698E">
        <w:t>wą</w:t>
      </w:r>
      <w:proofErr w:type="spellEnd"/>
      <w:r w:rsidR="00A5698E">
        <w:t xml:space="preserve"> wspiera</w:t>
      </w:r>
      <w:r w:rsidRPr="00A5698E">
        <w:t xml:space="preserve"> 6 uczelni wyższych na obszarze GZM </w:t>
      </w:r>
      <w:r w:rsidR="00A5698E">
        <w:t xml:space="preserve">i </w:t>
      </w:r>
      <w:r w:rsidRPr="00A5698E">
        <w:t>oferuje kształcenie na kierunkach powiązanych z grami wideo – są to m.in. Projektowanie graficzne i projektowanie gier w Górnośląskiej Wyższej Szkole Przedsiębiorczości w Chorzowie; Interaktywna grafika trójwymiarowa na Politechnice Śląskiej w Gliwicach; Projektowanie rozrywki interaktywnej oraz lokalizacja gier i oprogramowania na Uniwersytecie Śląskim; Pracownia animacji i gier komputerowych w Akademii Sztuk Pięknych oraz Programowanie gier i aplikacji mobilnych na Uniwersytecie Ekonomicznym. Wraz z dalszym rozwojem branży, można się spodziewać zwiększenia liczby i różnorodności kierunków uniwersyteckich powiązanych z branżą gier wideo i e</w:t>
      </w:r>
      <w:r w:rsidR="00F4292E">
        <w:t>-</w:t>
      </w:r>
      <w:r w:rsidRPr="00A5698E">
        <w:t xml:space="preserve">sportu. </w:t>
      </w:r>
    </w:p>
    <w:p w14:paraId="5DDA1549" w14:textId="2D3578B9" w:rsidR="00A3131F" w:rsidRPr="00D929FF" w:rsidRDefault="00A3131F" w:rsidP="00A3131F">
      <w:pPr>
        <w:pStyle w:val="Standard"/>
        <w:spacing w:line="360" w:lineRule="auto"/>
        <w:jc w:val="both"/>
        <w:rPr>
          <w:i/>
          <w:iCs/>
        </w:rPr>
      </w:pPr>
      <w:r w:rsidRPr="005A751E">
        <w:rPr>
          <w:i/>
          <w:iCs/>
        </w:rPr>
        <w:t>„Górnośląsko- Zagłębiowska Metropolia to obszar niezwykle uprzemysłowiony</w:t>
      </w:r>
      <w:r>
        <w:rPr>
          <w:i/>
          <w:iCs/>
        </w:rPr>
        <w:t>,</w:t>
      </w:r>
      <w:r w:rsidRPr="005A751E">
        <w:rPr>
          <w:i/>
          <w:iCs/>
        </w:rPr>
        <w:t xml:space="preserve"> ściśle związany z biznesem, dlatego wręcz predestynuje do studiowania biznesu właśnie tu, na śląsku. Dlatego Uniwersytet Ekonomiczny dostosowuje swoją ofertę edukacyjną tak by</w:t>
      </w:r>
      <w:r>
        <w:rPr>
          <w:i/>
          <w:iCs/>
        </w:rPr>
        <w:t xml:space="preserve"> znalazły się w niej</w:t>
      </w:r>
      <w:r w:rsidRPr="005A751E">
        <w:rPr>
          <w:i/>
          <w:iCs/>
        </w:rPr>
        <w:t xml:space="preserve"> najnowsze t</w:t>
      </w:r>
      <w:r>
        <w:rPr>
          <w:i/>
          <w:iCs/>
        </w:rPr>
        <w:t xml:space="preserve">rendy, tak polskie jak i zagraniczne i tym samym były one atrakcyjne dla naszych studentów. W tym roku debiutujemy </w:t>
      </w:r>
      <w:r w:rsidR="008034AD">
        <w:rPr>
          <w:i/>
          <w:iCs/>
        </w:rPr>
        <w:t>z</w:t>
      </w:r>
      <w:r>
        <w:rPr>
          <w:i/>
          <w:iCs/>
        </w:rPr>
        <w:t xml:space="preserve"> kierunkiem jakim jest gospodarka cyfrowa i to debiutujemy z dużym sukcesem, gdyż </w:t>
      </w:r>
      <w:r>
        <w:rPr>
          <w:i/>
          <w:iCs/>
        </w:rPr>
        <w:lastRenderedPageBreak/>
        <w:t xml:space="preserve">cieszy się on ogromnym zainteresowaniem zarówno na studiach pierwszego jak i drugiego stopnia. Ale nie tylko gospodarka cyfrowa jest odpowiedzią na wielkie zapotrzebowanie rynku na specjalistów, którzy kreują wirtualną rzeczywistość, analizują bazy danych, tworzą aplikacje mobilne  czy zajmują się rozwojem sztucznej inteligencji, bo kształcimy również na takich kierunkach jak analityka gospodarcza czy informatyka, która u nas nakierowana jest właśnie na biznes, tak by nasi absolwenci rozumieli jego potrzeby. Mamy również kierunek w języku angielskim, czyli e-commerce związany z handlem online  czy kierunek bezpieczeństwo w biznesie kształcącym specjalistów w zakresie bezpieczeństwa cyfrowego.” </w:t>
      </w:r>
      <w:r>
        <w:t xml:space="preserve">– podkreśla </w:t>
      </w:r>
      <w:r w:rsidRPr="009A6875">
        <w:t>Prorektor ds. Edukacji i Współpracy Międzynarodowej, prof. dr. hab. Sławomir Smyczek</w:t>
      </w:r>
      <w:r>
        <w:t xml:space="preserve"> z </w:t>
      </w:r>
      <w:r w:rsidRPr="009A6875">
        <w:t xml:space="preserve"> Uniwersytet</w:t>
      </w:r>
      <w:r>
        <w:t>u</w:t>
      </w:r>
      <w:r w:rsidRPr="009A6875">
        <w:t xml:space="preserve"> Ekonomiczn</w:t>
      </w:r>
      <w:r>
        <w:t>ego w</w:t>
      </w:r>
      <w:r w:rsidRPr="009A6875">
        <w:t xml:space="preserve"> Katowic</w:t>
      </w:r>
      <w:r>
        <w:t>ach.</w:t>
      </w:r>
    </w:p>
    <w:p w14:paraId="59289FB4" w14:textId="08FE2F14" w:rsidR="00D141E4" w:rsidRDefault="00D141E4">
      <w:pPr>
        <w:pStyle w:val="Standard"/>
        <w:spacing w:line="360" w:lineRule="auto"/>
        <w:jc w:val="both"/>
        <w:rPr>
          <w:b/>
          <w:bCs/>
        </w:rPr>
      </w:pPr>
    </w:p>
    <w:p w14:paraId="30A0E11C" w14:textId="77777777" w:rsidR="00EC7282" w:rsidRDefault="00EC7282" w:rsidP="00EC7282">
      <w:pPr>
        <w:pStyle w:val="Standard"/>
        <w:spacing w:line="360" w:lineRule="auto"/>
        <w:jc w:val="both"/>
        <w:rPr>
          <w:b/>
          <w:bCs/>
        </w:rPr>
      </w:pPr>
      <w:r>
        <w:rPr>
          <w:b/>
          <w:bCs/>
        </w:rPr>
        <w:t xml:space="preserve">Studiowanie w nowej rzeczywistości </w:t>
      </w:r>
    </w:p>
    <w:p w14:paraId="26E8CD0F" w14:textId="16924DFA" w:rsidR="00EC7282" w:rsidRDefault="00EC7282" w:rsidP="00EC7282">
      <w:pPr>
        <w:pStyle w:val="Standard"/>
        <w:spacing w:line="360" w:lineRule="auto"/>
        <w:jc w:val="both"/>
      </w:pPr>
      <w:r w:rsidRPr="00483199">
        <w:t>Ostatnie dwa lata były dużym wyzwaniem dla ośrodków akademickich, ale też samych wykładowców czy studentów. Wiązało się to przede wszystkim z przejściem na tryb zdalnego nauczania i całkowit</w:t>
      </w:r>
      <w:r>
        <w:t>ym</w:t>
      </w:r>
      <w:r w:rsidRPr="00483199">
        <w:t xml:space="preserve"> przeorganizowani</w:t>
      </w:r>
      <w:r w:rsidR="008034AD">
        <w:t>u</w:t>
      </w:r>
      <w:r w:rsidRPr="00483199">
        <w:t xml:space="preserve"> sposobu nauki jaki znaliśmy do tej pory. Wprowadzenie rozwiązań umożliwiających </w:t>
      </w:r>
      <w:r w:rsidR="002139FC">
        <w:t xml:space="preserve">pełną </w:t>
      </w:r>
      <w:r w:rsidRPr="00483199">
        <w:t>naukę zdalną,</w:t>
      </w:r>
      <w:r>
        <w:t xml:space="preserve"> czy</w:t>
      </w:r>
      <w:r w:rsidRPr="00483199">
        <w:t xml:space="preserve"> hybrydowość edukacji przy jednoczesnym utrzymaniu wysokiej jakości nauczania pomimo bezpośredniego kontaktu na linii wykładowca – student znacząco wpłynęł</w:t>
      </w:r>
      <w:r>
        <w:t>o</w:t>
      </w:r>
      <w:r w:rsidRPr="00483199">
        <w:t xml:space="preserve"> na obraz szkolnictwa wyższego. Jakie wyzwania niesie przed sobą nowy rok akademicki </w:t>
      </w:r>
      <w:r w:rsidR="006501BC">
        <w:t xml:space="preserve">w kontekście bezpieczeństwa zawiązanego z COVID-19 </w:t>
      </w:r>
      <w:r w:rsidRPr="00483199">
        <w:t xml:space="preserve">opowiedział </w:t>
      </w:r>
      <w:r>
        <w:t xml:space="preserve">podczas konferencji </w:t>
      </w:r>
      <w:r w:rsidR="0031463D">
        <w:t>P</w:t>
      </w:r>
      <w:r>
        <w:t xml:space="preserve">rorektor ds. dydaktyki i studentów dr hab. Rajmund Tomik prof. Akademii Wychowania Fizycznego </w:t>
      </w:r>
      <w:r w:rsidR="00354524">
        <w:t xml:space="preserve">im. Jerzego Kukuczki </w:t>
      </w:r>
      <w:r>
        <w:t xml:space="preserve">w Katowicach. </w:t>
      </w:r>
    </w:p>
    <w:p w14:paraId="0A18ED54" w14:textId="032D7CE7" w:rsidR="00EC7282" w:rsidRPr="006501BC" w:rsidRDefault="00EC7282" w:rsidP="00EC7282">
      <w:pPr>
        <w:pStyle w:val="Standard"/>
        <w:spacing w:line="360" w:lineRule="auto"/>
        <w:jc w:val="both"/>
        <w:rPr>
          <w:b/>
          <w:bCs/>
        </w:rPr>
      </w:pPr>
      <w:r>
        <w:rPr>
          <w:i/>
          <w:iCs/>
        </w:rPr>
        <w:t>„Od 1 października kształcimy na wszystkich kierunkach w trybie kontaktowym, choć w zmniejszonych grupach, co znacznie ułatwia samą organizację zajęć. Staramy się</w:t>
      </w:r>
      <w:r w:rsidR="0031463D">
        <w:rPr>
          <w:i/>
          <w:iCs/>
        </w:rPr>
        <w:t xml:space="preserve"> również</w:t>
      </w:r>
      <w:r>
        <w:rPr>
          <w:i/>
          <w:iCs/>
        </w:rPr>
        <w:t xml:space="preserve"> organizować</w:t>
      </w:r>
      <w:r w:rsidR="0031463D">
        <w:rPr>
          <w:i/>
          <w:iCs/>
        </w:rPr>
        <w:t xml:space="preserve"> je</w:t>
      </w:r>
      <w:r>
        <w:rPr>
          <w:i/>
          <w:iCs/>
        </w:rPr>
        <w:t xml:space="preserve"> w taki sposób, aby były one maksymalnie bezpieczne. Z niepokojem patrzymy jednak na rosnącą liczbę zakażeń w naszym  kraju, dlatego  mocno promujemy szczepienia. Zarówno pracownicy AWF-u jak i studenci </w:t>
      </w:r>
      <w:r>
        <w:rPr>
          <w:i/>
          <w:iCs/>
        </w:rPr>
        <w:lastRenderedPageBreak/>
        <w:t xml:space="preserve">fizjoterapii jako pierwsi przystąpili do projektu szczepień, przyjmując dawki szczepionki już w końcówce grudnia ubiegłego roku. Namawiamy również naszych studentów na noszenie maseczek w pomieszczeniach zamkniętych, choć sami zdajemy sobie sprawę, że nie jest to proste, bo jako społeczeństwo powoli zapominamy o tym, </w:t>
      </w:r>
      <w:r w:rsidR="0031463D">
        <w:rPr>
          <w:i/>
          <w:iCs/>
        </w:rPr>
        <w:t xml:space="preserve">że </w:t>
      </w:r>
      <w:r>
        <w:rPr>
          <w:i/>
          <w:iCs/>
        </w:rPr>
        <w:t>pandemia jeszcze się nie skończyła. Obserwujemy sytuację, raportujemy również stan zakażeń na terenie uczelni, choć na razie jest ona zerowa, ale nadal będziemy pilnie ją monitorować</w:t>
      </w:r>
      <w:r w:rsidRPr="00736E2F">
        <w:t>.</w:t>
      </w:r>
      <w:r>
        <w:t>”</w:t>
      </w:r>
    </w:p>
    <w:p w14:paraId="28079015" w14:textId="452F4B7F" w:rsidR="00EC7282" w:rsidRDefault="00EC7282">
      <w:pPr>
        <w:pStyle w:val="Standard"/>
        <w:spacing w:line="360" w:lineRule="auto"/>
        <w:jc w:val="both"/>
      </w:pPr>
    </w:p>
    <w:p w14:paraId="4270271F" w14:textId="63999DE3" w:rsidR="00EC7282" w:rsidRDefault="00EC7282">
      <w:pPr>
        <w:pStyle w:val="Standard"/>
        <w:spacing w:line="360" w:lineRule="auto"/>
        <w:jc w:val="both"/>
      </w:pPr>
    </w:p>
    <w:p w14:paraId="174AEE33" w14:textId="77777777" w:rsidR="00EC7282" w:rsidRPr="00D141E4" w:rsidRDefault="00EC7282">
      <w:pPr>
        <w:pStyle w:val="Standard"/>
        <w:spacing w:line="360" w:lineRule="auto"/>
        <w:jc w:val="both"/>
        <w:rPr>
          <w:i/>
          <w:iCs/>
        </w:rPr>
      </w:pPr>
    </w:p>
    <w:sectPr w:rsidR="00EC7282" w:rsidRPr="00D141E4">
      <w:headerReference w:type="default" r:id="rId7"/>
      <w:footerReference w:type="default" r:id="rId8"/>
      <w:pgSz w:w="11906" w:h="16838"/>
      <w:pgMar w:top="1417" w:right="1417" w:bottom="1417" w:left="141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1444" w14:textId="77777777" w:rsidR="002555FF" w:rsidRDefault="002555FF">
      <w:pPr>
        <w:spacing w:after="0" w:line="240" w:lineRule="auto"/>
      </w:pPr>
      <w:r>
        <w:separator/>
      </w:r>
    </w:p>
  </w:endnote>
  <w:endnote w:type="continuationSeparator" w:id="0">
    <w:p w14:paraId="4D39A102" w14:textId="77777777" w:rsidR="002555FF" w:rsidRDefault="0025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7007" w14:textId="77777777" w:rsidR="002551DF" w:rsidRDefault="002555FF">
    <w:pPr>
      <w:pStyle w:val="Standard"/>
      <w:spacing w:line="240" w:lineRule="auto"/>
      <w:jc w:val="both"/>
      <w:rPr>
        <w:b/>
        <w:bCs/>
        <w:sz w:val="16"/>
        <w:szCs w:val="16"/>
      </w:rPr>
    </w:pPr>
  </w:p>
  <w:p w14:paraId="065FAB71" w14:textId="77777777" w:rsidR="002551DF" w:rsidRDefault="00660D4D">
    <w:pPr>
      <w:pStyle w:val="Standard"/>
      <w:spacing w:line="240" w:lineRule="auto"/>
      <w:jc w:val="both"/>
    </w:pPr>
    <w:r>
      <w:rPr>
        <w:b/>
        <w:bCs/>
        <w:sz w:val="16"/>
        <w:szCs w:val="16"/>
      </w:rPr>
      <w:t>Górnośląsko – Zagłębiowska Metropolia</w:t>
    </w:r>
  </w:p>
  <w:p w14:paraId="1F40BAEF" w14:textId="77777777" w:rsidR="002551DF" w:rsidRDefault="00660D4D">
    <w:pPr>
      <w:pStyle w:val="Standard"/>
      <w:shd w:val="clear" w:color="auto" w:fill="FFFFFF"/>
      <w:spacing w:after="0" w:line="240" w:lineRule="auto"/>
      <w:jc w:val="both"/>
    </w:pPr>
    <w:r>
      <w:rPr>
        <w:sz w:val="16"/>
        <w:szCs w:val="16"/>
      </w:rPr>
      <w:t>41 miast i gmin o łącznej powierzchni 2,5 tys. km kw., w których mieszka 2,3 mln mieszkańców, działa 240 tys. firm i przedsiębiorstw, wytwarzających ok. 8 proc. PKB naszego kraju. Górnośląsko-Zagłębiowska Metropolia, to pierwsza metropolia w Polsce. Realizację ustawowych zadań rozpoczęła 1 stycznia 2018 roku. Siedzibą władz Górnośląsko-Zagłębiowskiej Metropolii są Katowice.</w:t>
    </w:r>
  </w:p>
  <w:p w14:paraId="11503519" w14:textId="77777777" w:rsidR="002551DF" w:rsidRDefault="002555FF">
    <w:pPr>
      <w:pStyle w:val="Standard"/>
      <w:shd w:val="clear" w:color="auto" w:fill="FFFFFF"/>
      <w:spacing w:after="150" w:line="240" w:lineRule="auto"/>
      <w:jc w:val="both"/>
      <w:rPr>
        <w:sz w:val="16"/>
        <w:szCs w:val="16"/>
      </w:rPr>
    </w:pPr>
  </w:p>
  <w:p w14:paraId="4D11C47E" w14:textId="77777777" w:rsidR="002551DF" w:rsidRDefault="00660D4D">
    <w:pPr>
      <w:pStyle w:val="Standard"/>
      <w:shd w:val="clear" w:color="auto" w:fill="FFFFFF"/>
      <w:spacing w:after="150" w:line="240" w:lineRule="auto"/>
      <w:jc w:val="both"/>
    </w:pPr>
    <w:r>
      <w:rPr>
        <w:sz w:val="16"/>
        <w:szCs w:val="16"/>
      </w:rPr>
      <w:t>W skład Górnośląsko-Zagłębiowskiej Metropolii wchodzi 41 miast i gmin znajdujących się w centrum województwa śląskiego. Umownie zostały podzielone na pięć podregionów:</w:t>
    </w:r>
  </w:p>
  <w:p w14:paraId="3DABE965" w14:textId="77777777" w:rsidR="002551DF" w:rsidRDefault="00660D4D">
    <w:pPr>
      <w:pStyle w:val="Standard"/>
      <w:numPr>
        <w:ilvl w:val="0"/>
        <w:numId w:val="14"/>
      </w:numPr>
      <w:shd w:val="clear" w:color="auto" w:fill="FFFFFF"/>
      <w:spacing w:before="100" w:after="100" w:line="240" w:lineRule="auto"/>
      <w:jc w:val="both"/>
    </w:pPr>
    <w:r>
      <w:rPr>
        <w:sz w:val="16"/>
        <w:szCs w:val="16"/>
      </w:rPr>
      <w:t>bytomski: Bytom, Ożarowice, Piekary Śląskie, Radzionków, Świerklaniec, Tarnowskie Góry, Zbrosławice;</w:t>
    </w:r>
  </w:p>
  <w:p w14:paraId="07259672" w14:textId="77777777" w:rsidR="002551DF" w:rsidRDefault="00660D4D">
    <w:pPr>
      <w:pStyle w:val="Standard"/>
      <w:numPr>
        <w:ilvl w:val="0"/>
        <w:numId w:val="13"/>
      </w:numPr>
      <w:shd w:val="clear" w:color="auto" w:fill="FFFFFF"/>
      <w:spacing w:before="100" w:after="100" w:line="240" w:lineRule="auto"/>
      <w:jc w:val="both"/>
    </w:pPr>
    <w:r>
      <w:rPr>
        <w:sz w:val="16"/>
        <w:szCs w:val="16"/>
      </w:rPr>
      <w:t>gliwicki: Gliwice, Gierałtowice, Knurów, Pilchowice, Pyskowice, Rudziniec, Sośnicowice, Zabrze;</w:t>
    </w:r>
  </w:p>
  <w:p w14:paraId="48094338" w14:textId="77777777" w:rsidR="002551DF" w:rsidRDefault="00660D4D">
    <w:pPr>
      <w:pStyle w:val="Standard"/>
      <w:numPr>
        <w:ilvl w:val="0"/>
        <w:numId w:val="13"/>
      </w:numPr>
      <w:shd w:val="clear" w:color="auto" w:fill="FFFFFF"/>
      <w:spacing w:before="100" w:after="100" w:line="240" w:lineRule="auto"/>
      <w:jc w:val="both"/>
    </w:pPr>
    <w:r>
      <w:rPr>
        <w:sz w:val="16"/>
        <w:szCs w:val="16"/>
      </w:rPr>
      <w:t>katowicki: Katowice, Chorzów, Mysłowice, Ruda Śląska, Siemianowice Śląskie, Świętochłowice;</w:t>
    </w:r>
  </w:p>
  <w:p w14:paraId="266490D7" w14:textId="77777777" w:rsidR="002551DF" w:rsidRDefault="00660D4D">
    <w:pPr>
      <w:pStyle w:val="Standard"/>
      <w:numPr>
        <w:ilvl w:val="0"/>
        <w:numId w:val="13"/>
      </w:numPr>
      <w:shd w:val="clear" w:color="auto" w:fill="FFFFFF"/>
      <w:spacing w:before="100" w:after="100" w:line="240" w:lineRule="auto"/>
      <w:jc w:val="both"/>
    </w:pPr>
    <w:r>
      <w:rPr>
        <w:sz w:val="16"/>
        <w:szCs w:val="16"/>
      </w:rPr>
      <w:t>sosnowiecki: Sosnowiec, Będzin, Bobrowniki, Czeladź, Dąbrowa Górnicza, Mierzęcice, Psary, Siewierz, Sławków, Wojkowice;</w:t>
    </w:r>
  </w:p>
  <w:p w14:paraId="7B15453E" w14:textId="77777777" w:rsidR="002551DF" w:rsidRDefault="00660D4D">
    <w:pPr>
      <w:pStyle w:val="Standard"/>
      <w:numPr>
        <w:ilvl w:val="0"/>
        <w:numId w:val="13"/>
      </w:numPr>
      <w:shd w:val="clear" w:color="auto" w:fill="FFFFFF"/>
      <w:spacing w:before="100" w:after="0" w:line="240" w:lineRule="auto"/>
      <w:jc w:val="both"/>
    </w:pPr>
    <w:r>
      <w:rPr>
        <w:sz w:val="16"/>
        <w:szCs w:val="16"/>
      </w:rPr>
      <w:t>tyski: Tychy, Bieruń, Bojszowy, Chełm Śląski, Imielin, Kobiór, Lędziny, Łaziska Górne, Mikołów, Wyry.</w:t>
    </w:r>
  </w:p>
  <w:p w14:paraId="7A0E641D" w14:textId="77777777" w:rsidR="002551DF" w:rsidRDefault="002555FF" w:rsidP="00B75EF9">
    <w:pPr>
      <w:pStyle w:val="Standard"/>
      <w:shd w:val="clear" w:color="auto" w:fill="FFFFFF"/>
      <w:spacing w:before="100" w:after="0" w:line="240" w:lineRule="auto"/>
      <w:ind w:left="720"/>
      <w:jc w:val="both"/>
      <w:rPr>
        <w:sz w:val="16"/>
        <w:szCs w:val="16"/>
      </w:rPr>
    </w:pPr>
  </w:p>
  <w:p w14:paraId="1523B1D6" w14:textId="77777777" w:rsidR="002551DF" w:rsidRDefault="00660D4D">
    <w:pPr>
      <w:pStyle w:val="Standard"/>
      <w:spacing w:line="240" w:lineRule="auto"/>
      <w:jc w:val="both"/>
    </w:pPr>
    <w:r>
      <w:rPr>
        <w:sz w:val="16"/>
        <w:szCs w:val="16"/>
      </w:rPr>
      <w:t xml:space="preserve">Więcej informacji na: </w:t>
    </w:r>
    <w:hyperlink r:id="rId1" w:history="1">
      <w:r>
        <w:rPr>
          <w:sz w:val="16"/>
          <w:szCs w:val="16"/>
        </w:rPr>
        <w:t>https://metropoliagzm.pl/</w:t>
      </w:r>
    </w:hyperlink>
  </w:p>
  <w:p w14:paraId="156A179E" w14:textId="77777777" w:rsidR="002551DF" w:rsidRDefault="002555FF">
    <w:pPr>
      <w:pStyle w:val="Stopka"/>
      <w:ind w:hanging="1417"/>
      <w:rPr>
        <w:sz w:val="16"/>
        <w:szCs w:val="16"/>
      </w:rPr>
    </w:pPr>
  </w:p>
  <w:p w14:paraId="2218B6B5" w14:textId="77777777" w:rsidR="002551DF" w:rsidRDefault="002555FF">
    <w:pPr>
      <w:pStyle w:val="Stopka"/>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C0E4" w14:textId="77777777" w:rsidR="002555FF" w:rsidRDefault="002555FF">
      <w:pPr>
        <w:spacing w:after="0" w:line="240" w:lineRule="auto"/>
      </w:pPr>
      <w:r>
        <w:rPr>
          <w:color w:val="000000"/>
        </w:rPr>
        <w:separator/>
      </w:r>
    </w:p>
  </w:footnote>
  <w:footnote w:type="continuationSeparator" w:id="0">
    <w:p w14:paraId="1429DFD9" w14:textId="77777777" w:rsidR="002555FF" w:rsidRDefault="00255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3ECE" w14:textId="77777777" w:rsidR="002551DF" w:rsidRDefault="00660D4D">
    <w:pPr>
      <w:pStyle w:val="Nagwek"/>
      <w:ind w:hanging="1417"/>
      <w:jc w:val="center"/>
    </w:pPr>
    <w:r>
      <w:rPr>
        <w:noProof/>
      </w:rPr>
      <w:drawing>
        <wp:anchor distT="0" distB="0" distL="114300" distR="114300" simplePos="0" relativeHeight="251659264" behindDoc="0" locked="0" layoutInCell="1" allowOverlap="1" wp14:anchorId="497E48FC" wp14:editId="0CC2C41E">
          <wp:simplePos x="0" y="0"/>
          <wp:positionH relativeFrom="margin">
            <wp:posOffset>4883760</wp:posOffset>
          </wp:positionH>
          <wp:positionV relativeFrom="paragraph">
            <wp:posOffset>76320</wp:posOffset>
          </wp:positionV>
          <wp:extent cx="1599480" cy="754559"/>
          <wp:effectExtent l="0" t="0" r="720" b="7441"/>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99480" cy="75455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E9E"/>
    <w:multiLevelType w:val="multilevel"/>
    <w:tmpl w:val="4B64B00E"/>
    <w:styleLink w:val="WWNum1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7D22B56"/>
    <w:multiLevelType w:val="multilevel"/>
    <w:tmpl w:val="8708A47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B337CC"/>
    <w:multiLevelType w:val="multilevel"/>
    <w:tmpl w:val="99FE2354"/>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6A709E"/>
    <w:multiLevelType w:val="multilevel"/>
    <w:tmpl w:val="7E5611D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D4F12AE"/>
    <w:multiLevelType w:val="multilevel"/>
    <w:tmpl w:val="92065264"/>
    <w:styleLink w:val="WWNum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DF750D8"/>
    <w:multiLevelType w:val="multilevel"/>
    <w:tmpl w:val="876CB5C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07017D8"/>
    <w:multiLevelType w:val="multilevel"/>
    <w:tmpl w:val="D4A2E16A"/>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F411451"/>
    <w:multiLevelType w:val="multilevel"/>
    <w:tmpl w:val="23D2916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D17301"/>
    <w:multiLevelType w:val="multilevel"/>
    <w:tmpl w:val="57A26AD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7865DD2"/>
    <w:multiLevelType w:val="multilevel"/>
    <w:tmpl w:val="04360A26"/>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90299E"/>
    <w:multiLevelType w:val="multilevel"/>
    <w:tmpl w:val="8E6403D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940162F"/>
    <w:multiLevelType w:val="multilevel"/>
    <w:tmpl w:val="82BA9A7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F2F37B6"/>
    <w:multiLevelType w:val="multilevel"/>
    <w:tmpl w:val="DDBC280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4"/>
  </w:num>
  <w:num w:numId="3">
    <w:abstractNumId w:val="3"/>
  </w:num>
  <w:num w:numId="4">
    <w:abstractNumId w:val="11"/>
  </w:num>
  <w:num w:numId="5">
    <w:abstractNumId w:val="5"/>
  </w:num>
  <w:num w:numId="6">
    <w:abstractNumId w:val="12"/>
  </w:num>
  <w:num w:numId="7">
    <w:abstractNumId w:val="8"/>
  </w:num>
  <w:num w:numId="8">
    <w:abstractNumId w:val="6"/>
  </w:num>
  <w:num w:numId="9">
    <w:abstractNumId w:val="2"/>
  </w:num>
  <w:num w:numId="10">
    <w:abstractNumId w:val="9"/>
  </w:num>
  <w:num w:numId="11">
    <w:abstractNumId w:val="7"/>
  </w:num>
  <w:num w:numId="12">
    <w:abstractNumId w:val="1"/>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71"/>
    <w:rsid w:val="00000057"/>
    <w:rsid w:val="00054C71"/>
    <w:rsid w:val="00056227"/>
    <w:rsid w:val="000941EF"/>
    <w:rsid w:val="000B79E9"/>
    <w:rsid w:val="000F24B5"/>
    <w:rsid w:val="00121CA4"/>
    <w:rsid w:val="00154DDC"/>
    <w:rsid w:val="001831CE"/>
    <w:rsid w:val="001B173C"/>
    <w:rsid w:val="001E64FF"/>
    <w:rsid w:val="001E7DFC"/>
    <w:rsid w:val="001F072A"/>
    <w:rsid w:val="002019CA"/>
    <w:rsid w:val="002139FC"/>
    <w:rsid w:val="002529CE"/>
    <w:rsid w:val="00253BDF"/>
    <w:rsid w:val="002555FF"/>
    <w:rsid w:val="00281A22"/>
    <w:rsid w:val="00292905"/>
    <w:rsid w:val="002B57DF"/>
    <w:rsid w:val="002C7643"/>
    <w:rsid w:val="002E02BA"/>
    <w:rsid w:val="0031463D"/>
    <w:rsid w:val="0032727F"/>
    <w:rsid w:val="00352B02"/>
    <w:rsid w:val="00354524"/>
    <w:rsid w:val="0036244B"/>
    <w:rsid w:val="00377448"/>
    <w:rsid w:val="00385507"/>
    <w:rsid w:val="003A5DC4"/>
    <w:rsid w:val="003B5306"/>
    <w:rsid w:val="00415A55"/>
    <w:rsid w:val="00427B2E"/>
    <w:rsid w:val="004419F6"/>
    <w:rsid w:val="00452F26"/>
    <w:rsid w:val="00454FEC"/>
    <w:rsid w:val="00470EDB"/>
    <w:rsid w:val="00483199"/>
    <w:rsid w:val="004A1FCF"/>
    <w:rsid w:val="004C5E74"/>
    <w:rsid w:val="004F2127"/>
    <w:rsid w:val="004F6ED9"/>
    <w:rsid w:val="00501075"/>
    <w:rsid w:val="0055615A"/>
    <w:rsid w:val="00564A97"/>
    <w:rsid w:val="00580329"/>
    <w:rsid w:val="005861CF"/>
    <w:rsid w:val="005A751E"/>
    <w:rsid w:val="005B2353"/>
    <w:rsid w:val="005C007A"/>
    <w:rsid w:val="005E4F40"/>
    <w:rsid w:val="005F2A7D"/>
    <w:rsid w:val="006107D7"/>
    <w:rsid w:val="006230A1"/>
    <w:rsid w:val="00644E21"/>
    <w:rsid w:val="006501BC"/>
    <w:rsid w:val="00660D4D"/>
    <w:rsid w:val="006C2DAE"/>
    <w:rsid w:val="006E0D8B"/>
    <w:rsid w:val="00736E2F"/>
    <w:rsid w:val="00746DA8"/>
    <w:rsid w:val="0077497B"/>
    <w:rsid w:val="007A5F9B"/>
    <w:rsid w:val="007C61B9"/>
    <w:rsid w:val="007D5FFA"/>
    <w:rsid w:val="008004C0"/>
    <w:rsid w:val="008034AD"/>
    <w:rsid w:val="008050BC"/>
    <w:rsid w:val="0088708A"/>
    <w:rsid w:val="008900BB"/>
    <w:rsid w:val="0089265A"/>
    <w:rsid w:val="00893F77"/>
    <w:rsid w:val="008D6F56"/>
    <w:rsid w:val="008E49AF"/>
    <w:rsid w:val="008E4A19"/>
    <w:rsid w:val="008E65E5"/>
    <w:rsid w:val="00900C3C"/>
    <w:rsid w:val="00913697"/>
    <w:rsid w:val="00956D27"/>
    <w:rsid w:val="0096193B"/>
    <w:rsid w:val="00966399"/>
    <w:rsid w:val="009A6875"/>
    <w:rsid w:val="009B0DB3"/>
    <w:rsid w:val="009D2AD4"/>
    <w:rsid w:val="00A3131F"/>
    <w:rsid w:val="00A5698E"/>
    <w:rsid w:val="00A949F3"/>
    <w:rsid w:val="00AC5A90"/>
    <w:rsid w:val="00B05EB5"/>
    <w:rsid w:val="00B16366"/>
    <w:rsid w:val="00B6386A"/>
    <w:rsid w:val="00B75EF9"/>
    <w:rsid w:val="00B91799"/>
    <w:rsid w:val="00BF0714"/>
    <w:rsid w:val="00C14520"/>
    <w:rsid w:val="00C354ED"/>
    <w:rsid w:val="00C358F8"/>
    <w:rsid w:val="00C40909"/>
    <w:rsid w:val="00C45E13"/>
    <w:rsid w:val="00C51CA7"/>
    <w:rsid w:val="00C87FF3"/>
    <w:rsid w:val="00CD30DE"/>
    <w:rsid w:val="00CD59AA"/>
    <w:rsid w:val="00CE2FD5"/>
    <w:rsid w:val="00CE48B4"/>
    <w:rsid w:val="00CF3B00"/>
    <w:rsid w:val="00D141E4"/>
    <w:rsid w:val="00D75C14"/>
    <w:rsid w:val="00D929FF"/>
    <w:rsid w:val="00DB7D38"/>
    <w:rsid w:val="00DC72F8"/>
    <w:rsid w:val="00DD276D"/>
    <w:rsid w:val="00DD5F93"/>
    <w:rsid w:val="00DE3D6E"/>
    <w:rsid w:val="00DE507B"/>
    <w:rsid w:val="00E34193"/>
    <w:rsid w:val="00E3636E"/>
    <w:rsid w:val="00E37922"/>
    <w:rsid w:val="00E524E4"/>
    <w:rsid w:val="00E8113C"/>
    <w:rsid w:val="00EB7B43"/>
    <w:rsid w:val="00EC7282"/>
    <w:rsid w:val="00ED262E"/>
    <w:rsid w:val="00EF71C3"/>
    <w:rsid w:val="00F111FE"/>
    <w:rsid w:val="00F4292E"/>
    <w:rsid w:val="00F4319B"/>
    <w:rsid w:val="00F45B46"/>
    <w:rsid w:val="00F612C7"/>
    <w:rsid w:val="00F74A38"/>
    <w:rsid w:val="00FA1EE9"/>
    <w:rsid w:val="00FC6E9B"/>
    <w:rsid w:val="00FE6631"/>
    <w:rsid w:val="00FF1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9677"/>
  <w15:docId w15:val="{39E9B32F-8322-4D02-B187-CD90DD05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5561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styleId="Akapitzlist">
    <w:name w:val="List Paragraph"/>
    <w:basedOn w:val="Standard"/>
    <w:uiPriority w:val="34"/>
    <w:qFormat/>
    <w:pPr>
      <w:ind w:left="720"/>
    </w:pPr>
  </w:style>
  <w:style w:type="paragraph" w:styleId="Tekstdymka">
    <w:name w:val="Balloon Text"/>
    <w:basedOn w:val="Standard"/>
    <w:pPr>
      <w:spacing w:after="0" w:line="240" w:lineRule="auto"/>
    </w:pPr>
    <w:rPr>
      <w:rFonts w:ascii="Segoe UI" w:hAnsi="Segoe UI" w:cs="Segoe UI"/>
      <w:sz w:val="18"/>
      <w:szCs w:val="18"/>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Default">
    <w:name w:val="Default"/>
    <w:pPr>
      <w:widowControl/>
      <w:spacing w:after="0" w:line="240" w:lineRule="auto"/>
    </w:pPr>
    <w:rPr>
      <w:rFonts w:ascii="Arial" w:hAnsi="Arial" w:cs="Arial"/>
      <w:color w:val="000000"/>
      <w:sz w:val="24"/>
      <w:szCs w:val="24"/>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Segoe UI" w:hAnsi="Segoe UI" w:cs="Segoe UI"/>
      <w:sz w:val="18"/>
      <w:szCs w:val="18"/>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Internetlink">
    <w:name w:val="Internet link"/>
    <w:basedOn w:val="Domylnaczcionkaakapitu"/>
    <w:rPr>
      <w:color w:val="0000FF"/>
      <w:u w:val="single"/>
    </w:rPr>
  </w:style>
  <w:style w:type="character" w:styleId="Nierozpoznanawzmianka">
    <w:name w:val="Unresolved Mention"/>
    <w:basedOn w:val="Domylnaczcionkaakapitu"/>
    <w:rPr>
      <w:color w:val="605E5C"/>
    </w:rPr>
  </w:style>
  <w:style w:type="character" w:customStyle="1" w:styleId="TematkomentarzaZnak">
    <w:name w:val="Temat komentarza Znak"/>
    <w:basedOn w:val="TekstkomentarzaZnak"/>
    <w:rPr>
      <w:b/>
      <w:bCs/>
      <w:sz w:val="20"/>
      <w:szCs w:val="20"/>
    </w:rPr>
  </w:style>
  <w:style w:type="character" w:customStyle="1" w:styleId="StrongEmphasis">
    <w:name w:val="Strong Emphasis"/>
    <w:basedOn w:val="Domylnaczcionkaakapitu"/>
    <w:rPr>
      <w:b/>
      <w:bCs/>
    </w:rPr>
  </w:style>
  <w:style w:type="character" w:customStyle="1" w:styleId="HTML-wstpniesformatowanyZnak">
    <w:name w:val="HTML - wstępnie sformatowany Znak"/>
    <w:basedOn w:val="Domylnaczcionkaakapitu"/>
    <w:rPr>
      <w:rFonts w:ascii="Courier New" w:eastAsia="Times New Roman" w:hAnsi="Courier New" w:cs="Courier New"/>
      <w:sz w:val="20"/>
      <w:szCs w:val="20"/>
      <w:lang w:eastAsia="pl-PL"/>
    </w:rPr>
  </w:style>
  <w:style w:type="character" w:customStyle="1" w:styleId="y2iqfc">
    <w:name w:val="y2iqfc"/>
    <w:basedOn w:val="Domylnaczcionkaakapitu"/>
  </w:style>
  <w:style w:type="character" w:customStyle="1" w:styleId="ListLabel1">
    <w:name w:val="ListLabel 1"/>
    <w:rPr>
      <w:rFonts w:cs="Courier New"/>
    </w:rPr>
  </w:style>
  <w:style w:type="character" w:customStyle="1" w:styleId="ListLabel2">
    <w:name w:val="ListLabel 2"/>
    <w:rPr>
      <w:sz w:val="20"/>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paragraph" w:styleId="Tekstprzypisudolnego">
    <w:name w:val="footnote text"/>
    <w:basedOn w:val="Normalny"/>
    <w:link w:val="TekstprzypisudolnegoZnak"/>
    <w:uiPriority w:val="99"/>
    <w:semiHidden/>
    <w:unhideWhenUsed/>
    <w:rsid w:val="002929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2905"/>
    <w:rPr>
      <w:sz w:val="20"/>
      <w:szCs w:val="20"/>
    </w:rPr>
  </w:style>
  <w:style w:type="character" w:styleId="Odwoanieprzypisudolnego">
    <w:name w:val="footnote reference"/>
    <w:basedOn w:val="Domylnaczcionkaakapitu"/>
    <w:uiPriority w:val="99"/>
    <w:semiHidden/>
    <w:unhideWhenUsed/>
    <w:rsid w:val="00292905"/>
    <w:rPr>
      <w:vertAlign w:val="superscript"/>
    </w:rPr>
  </w:style>
  <w:style w:type="character" w:styleId="Uwydatnienie">
    <w:name w:val="Emphasis"/>
    <w:basedOn w:val="Domylnaczcionkaakapitu"/>
    <w:uiPriority w:val="20"/>
    <w:qFormat/>
    <w:rsid w:val="003A5DC4"/>
    <w:rPr>
      <w:i/>
      <w:iCs/>
    </w:rPr>
  </w:style>
  <w:style w:type="character" w:customStyle="1" w:styleId="Nagwek2Znak">
    <w:name w:val="Nagłówek 2 Znak"/>
    <w:basedOn w:val="Domylnaczcionkaakapitu"/>
    <w:link w:val="Nagwek2"/>
    <w:uiPriority w:val="9"/>
    <w:semiHidden/>
    <w:rsid w:val="0055615A"/>
    <w:rPr>
      <w:rFonts w:asciiTheme="majorHAnsi" w:eastAsiaTheme="majorEastAsia" w:hAnsiTheme="majorHAnsi" w:cstheme="majorBidi"/>
      <w:color w:val="2F5496" w:themeColor="accent1" w:themeShade="BF"/>
      <w:sz w:val="26"/>
      <w:szCs w:val="26"/>
    </w:rPr>
  </w:style>
  <w:style w:type="paragraph" w:styleId="Poprawka">
    <w:name w:val="Revision"/>
    <w:hidden/>
    <w:uiPriority w:val="99"/>
    <w:semiHidden/>
    <w:rsid w:val="006230A1"/>
    <w:pPr>
      <w:widowControl/>
      <w:suppressAutoHyphens w:val="0"/>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0754">
      <w:bodyDiv w:val="1"/>
      <w:marLeft w:val="0"/>
      <w:marRight w:val="0"/>
      <w:marTop w:val="0"/>
      <w:marBottom w:val="0"/>
      <w:divBdr>
        <w:top w:val="none" w:sz="0" w:space="0" w:color="auto"/>
        <w:left w:val="none" w:sz="0" w:space="0" w:color="auto"/>
        <w:bottom w:val="none" w:sz="0" w:space="0" w:color="auto"/>
        <w:right w:val="none" w:sz="0" w:space="0" w:color="auto"/>
      </w:divBdr>
    </w:div>
    <w:div w:id="887305119">
      <w:bodyDiv w:val="1"/>
      <w:marLeft w:val="0"/>
      <w:marRight w:val="0"/>
      <w:marTop w:val="0"/>
      <w:marBottom w:val="0"/>
      <w:divBdr>
        <w:top w:val="none" w:sz="0" w:space="0" w:color="auto"/>
        <w:left w:val="none" w:sz="0" w:space="0" w:color="auto"/>
        <w:bottom w:val="none" w:sz="0" w:space="0" w:color="auto"/>
        <w:right w:val="none" w:sz="0" w:space="0" w:color="auto"/>
      </w:divBdr>
    </w:div>
    <w:div w:id="2119134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etropoliagz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1239</Words>
  <Characters>7434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Łuczak, Michał</dc:creator>
  <cp:lastModifiedBy>Kalińska, Małgorzata</cp:lastModifiedBy>
  <cp:revision>9</cp:revision>
  <dcterms:created xsi:type="dcterms:W3CDTF">2021-10-12T19:31:00Z</dcterms:created>
  <dcterms:modified xsi:type="dcterms:W3CDTF">2021-10-14T07:35:00Z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